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Small Business Management/Entrepreneurship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E1F5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E1F5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E1F5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EE1F5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Three credits are restricted to: </w:t>
            </w:r>
            <w:r>
              <w:rPr>
                <w:sz w:val="20"/>
                <w:szCs w:val="20"/>
              </w:rPr>
              <w:t>BMK*E103 Principles of Retailing, BMG*E220 Human Resource Management, or BBG*E215 Global Business. Restrictive elective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BBG*E210 Business Communication – requires permission of the Instructor or Pe</w:t>
            </w:r>
            <w:r>
              <w:rPr>
                <w:sz w:val="20"/>
                <w:szCs w:val="20"/>
              </w:rPr>
              <w:t>rmission of the Academic Adviso</w:t>
            </w:r>
            <w:r>
              <w:rPr>
                <w:sz w:val="20"/>
                <w:szCs w:val="20"/>
              </w:rPr>
              <w:t>r</w:t>
            </w:r>
            <w:r>
              <w:t xml:space="preserve"> </w:t>
            </w:r>
          </w:p>
        </w:tc>
      </w:tr>
    </w:tbl>
    <w:p w:rsidR="00000000" w:rsidRDefault="00EE1F5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1F59"/>
    <w:rsid w:val="00E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C1CF-1168-4918-8BA2-988704B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